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29B" w:rsidRDefault="0095129B" w:rsidP="00990DF7">
      <w:pPr>
        <w:jc w:val="both"/>
        <w:rPr>
          <w:rFonts w:ascii="Arial" w:hAnsi="Arial" w:cs="Arial"/>
          <w:b/>
          <w:bCs/>
          <w:sz w:val="28"/>
          <w:szCs w:val="28"/>
        </w:rPr>
      </w:pPr>
      <w:r w:rsidRPr="0095129B">
        <w:rPr>
          <w:rFonts w:ascii="Arial" w:hAnsi="Arial" w:cs="Arial"/>
          <w:b/>
          <w:bCs/>
          <w:sz w:val="28"/>
          <w:szCs w:val="28"/>
        </w:rPr>
        <w:t>CM Profesionales en Ciencias Económicas | IMPUESTOS |</w:t>
      </w:r>
    </w:p>
    <w:p w:rsidR="00990DF7" w:rsidRPr="00990DF7" w:rsidRDefault="00990DF7" w:rsidP="00990DF7">
      <w:pPr>
        <w:jc w:val="both"/>
        <w:rPr>
          <w:rFonts w:ascii="Arial" w:hAnsi="Arial" w:cs="Arial"/>
          <w:b/>
          <w:bCs/>
          <w:sz w:val="28"/>
          <w:szCs w:val="28"/>
        </w:rPr>
      </w:pPr>
      <w:r w:rsidRPr="00990DF7">
        <w:rPr>
          <w:rFonts w:ascii="Arial" w:hAnsi="Arial" w:cs="Arial"/>
          <w:b/>
          <w:bCs/>
          <w:sz w:val="28"/>
          <w:szCs w:val="28"/>
        </w:rPr>
        <w:t>Impuesto a la herencia: de cuánto es el monto, a quiénes incluye y cómo se calcula</w:t>
      </w:r>
    </w:p>
    <w:p w:rsidR="00990DF7" w:rsidRPr="00990DF7" w:rsidRDefault="00990DF7" w:rsidP="00990DF7">
      <w:pPr>
        <w:jc w:val="both"/>
        <w:rPr>
          <w:rFonts w:ascii="Arial" w:hAnsi="Arial" w:cs="Arial"/>
          <w:sz w:val="28"/>
          <w:szCs w:val="28"/>
        </w:rPr>
      </w:pPr>
      <w:r w:rsidRPr="00990DF7">
        <w:rPr>
          <w:rFonts w:ascii="Arial" w:hAnsi="Arial" w:cs="Arial"/>
          <w:sz w:val="28"/>
          <w:szCs w:val="28"/>
        </w:rPr>
        <w:t>El tributo, también conocido como transmisión gratuita de bienes, se aplica desde 2011 a los aumentos de riqueza de forma gratuita</w:t>
      </w:r>
    </w:p>
    <w:p w:rsidR="00990DF7" w:rsidRPr="00990DF7" w:rsidRDefault="00990DF7" w:rsidP="00990DF7">
      <w:pPr>
        <w:jc w:val="both"/>
        <w:rPr>
          <w:rFonts w:ascii="Arial" w:hAnsi="Arial" w:cs="Arial"/>
          <w:b/>
          <w:bCs/>
          <w:sz w:val="28"/>
          <w:szCs w:val="28"/>
        </w:rPr>
      </w:pPr>
      <w:r w:rsidRPr="00990DF7">
        <w:rPr>
          <w:rFonts w:ascii="Arial" w:hAnsi="Arial" w:cs="Arial"/>
          <w:b/>
          <w:bCs/>
          <w:sz w:val="28"/>
          <w:szCs w:val="28"/>
        </w:rPr>
        <w:t>Impuesto a la herencia: de cuánto es el monto, a quiénes incluye y cómo se calcula</w:t>
      </w:r>
    </w:p>
    <w:p w:rsidR="00990DF7" w:rsidRPr="00990DF7" w:rsidRDefault="00990DF7" w:rsidP="00990DF7">
      <w:pPr>
        <w:jc w:val="both"/>
        <w:rPr>
          <w:rFonts w:ascii="Arial" w:hAnsi="Arial" w:cs="Arial"/>
          <w:sz w:val="28"/>
          <w:szCs w:val="28"/>
        </w:rPr>
      </w:pPr>
      <w:r w:rsidRPr="00990DF7">
        <w:rPr>
          <w:rFonts w:ascii="Arial" w:hAnsi="Arial" w:cs="Arial"/>
          <w:sz w:val="28"/>
          <w:szCs w:val="28"/>
        </w:rPr>
        <w:t xml:space="preserve"> El impuesto a la transmisión gratuita de bienes aplica a todos los incrementos de riqueza que las personas obtienen a título gratuito, es decir, sin entregar nada a cambio. El mismo alcanza a una gran variedad de operaciones como legados, donaciones, anticipos de herencias, entre otros. En el caso de la Provincia de Buenos Aires aplica desde el 2011.</w:t>
      </w:r>
    </w:p>
    <w:p w:rsidR="00990DF7" w:rsidRPr="00990DF7" w:rsidRDefault="00990DF7" w:rsidP="00990DF7">
      <w:pPr>
        <w:jc w:val="both"/>
        <w:rPr>
          <w:rFonts w:ascii="Arial" w:hAnsi="Arial" w:cs="Arial"/>
          <w:b/>
          <w:bCs/>
          <w:sz w:val="28"/>
          <w:szCs w:val="28"/>
        </w:rPr>
      </w:pPr>
      <w:r w:rsidRPr="00990DF7">
        <w:rPr>
          <w:rFonts w:ascii="Arial" w:hAnsi="Arial" w:cs="Arial"/>
          <w:b/>
          <w:bCs/>
          <w:sz w:val="28"/>
          <w:szCs w:val="28"/>
        </w:rPr>
        <w:t>¿Cuánto es el impuesto a la transmisión gratuita de bienes?</w:t>
      </w:r>
    </w:p>
    <w:p w:rsidR="00990DF7" w:rsidRPr="00990DF7" w:rsidRDefault="00990DF7" w:rsidP="00990DF7">
      <w:pPr>
        <w:jc w:val="both"/>
        <w:rPr>
          <w:rFonts w:ascii="Arial" w:hAnsi="Arial" w:cs="Arial"/>
          <w:sz w:val="28"/>
          <w:szCs w:val="28"/>
        </w:rPr>
      </w:pPr>
      <w:r w:rsidRPr="00990DF7">
        <w:rPr>
          <w:rFonts w:ascii="Arial" w:hAnsi="Arial" w:cs="Arial"/>
          <w:sz w:val="28"/>
          <w:szCs w:val="28"/>
        </w:rPr>
        <w:t>El impuesto a la transmisión gratuita de bienes aplica a las transmisiones gratuitas que superan $1.344.000 en el caso de que sean de "familiares" (padres, hijos o cónyuges), mientras que en el resto de los casos aplica desde los $322.880.</w:t>
      </w:r>
      <w:r>
        <w:rPr>
          <w:rFonts w:ascii="Arial" w:hAnsi="Arial" w:cs="Arial"/>
          <w:sz w:val="28"/>
          <w:szCs w:val="28"/>
        </w:rPr>
        <w:t xml:space="preserve"> </w:t>
      </w:r>
      <w:r w:rsidRPr="00990DF7">
        <w:rPr>
          <w:rFonts w:ascii="Arial" w:hAnsi="Arial" w:cs="Arial"/>
          <w:sz w:val="28"/>
          <w:szCs w:val="28"/>
        </w:rPr>
        <w:t>En cuanto a la alícuota, la misma es progresiva, estableciendo un mínimo del 1,6% y un máximo del 7%, abonándose una suma fija y otra parte variable.</w:t>
      </w:r>
    </w:p>
    <w:p w:rsidR="00990DF7" w:rsidRPr="00990DF7" w:rsidRDefault="00990DF7" w:rsidP="00990DF7">
      <w:pPr>
        <w:jc w:val="both"/>
        <w:rPr>
          <w:rFonts w:ascii="Arial" w:hAnsi="Arial" w:cs="Arial"/>
          <w:b/>
          <w:bCs/>
          <w:sz w:val="28"/>
          <w:szCs w:val="28"/>
        </w:rPr>
      </w:pPr>
      <w:r w:rsidRPr="00990DF7">
        <w:rPr>
          <w:rFonts w:ascii="Arial" w:hAnsi="Arial" w:cs="Arial"/>
          <w:b/>
          <w:bCs/>
          <w:sz w:val="28"/>
          <w:szCs w:val="28"/>
        </w:rPr>
        <w:t>¿Cómo se calcula el impuesto a la transmisión gratuita de bienes 2022?</w:t>
      </w:r>
    </w:p>
    <w:p w:rsidR="00990DF7" w:rsidRDefault="00990DF7" w:rsidP="00990DF7">
      <w:pPr>
        <w:jc w:val="both"/>
        <w:rPr>
          <w:rFonts w:ascii="Arial" w:hAnsi="Arial" w:cs="Arial"/>
          <w:sz w:val="28"/>
          <w:szCs w:val="28"/>
        </w:rPr>
      </w:pPr>
      <w:r w:rsidRPr="00990DF7">
        <w:rPr>
          <w:rFonts w:ascii="Arial" w:hAnsi="Arial" w:cs="Arial"/>
          <w:sz w:val="28"/>
          <w:szCs w:val="28"/>
        </w:rPr>
        <w:t>Para calcular el impuesto a la transmisión gratuita de bienes se debe tomar el monto recibido y "encasillarlo" en alguna de las siguientes "franjas".</w:t>
      </w:r>
      <w:r>
        <w:rPr>
          <w:rFonts w:ascii="Arial" w:hAnsi="Arial" w:cs="Arial"/>
          <w:sz w:val="28"/>
          <w:szCs w:val="28"/>
        </w:rPr>
        <w:t xml:space="preserve"> </w:t>
      </w:r>
      <w:r w:rsidRPr="00990DF7">
        <w:rPr>
          <w:rFonts w:ascii="Arial" w:hAnsi="Arial" w:cs="Arial"/>
          <w:sz w:val="28"/>
          <w:szCs w:val="28"/>
        </w:rPr>
        <w:t>Los siguientes montos y alícuotas aplica en el caso de "familiares":</w:t>
      </w:r>
    </w:p>
    <w:p w:rsidR="00C67E6D" w:rsidRDefault="00C67E6D" w:rsidP="00990DF7">
      <w:pPr>
        <w:jc w:val="both"/>
        <w:rPr>
          <w:rFonts w:ascii="Arial" w:hAnsi="Arial" w:cs="Arial"/>
          <w:sz w:val="28"/>
          <w:szCs w:val="28"/>
        </w:rPr>
      </w:pPr>
    </w:p>
    <w:p w:rsidR="00C67E6D" w:rsidRDefault="00C67E6D" w:rsidP="00990DF7">
      <w:pPr>
        <w:jc w:val="both"/>
        <w:rPr>
          <w:rFonts w:ascii="Arial" w:hAnsi="Arial" w:cs="Arial"/>
          <w:sz w:val="28"/>
          <w:szCs w:val="28"/>
        </w:rPr>
      </w:pPr>
    </w:p>
    <w:p w:rsidR="00C67E6D" w:rsidRDefault="00C67E6D" w:rsidP="00990DF7">
      <w:pPr>
        <w:jc w:val="both"/>
        <w:rPr>
          <w:rFonts w:ascii="Arial" w:hAnsi="Arial" w:cs="Arial"/>
          <w:sz w:val="28"/>
          <w:szCs w:val="28"/>
        </w:rPr>
      </w:pPr>
    </w:p>
    <w:p w:rsidR="00C67E6D" w:rsidRDefault="00C67E6D" w:rsidP="00990DF7">
      <w:pPr>
        <w:jc w:val="both"/>
        <w:rPr>
          <w:rFonts w:ascii="Arial" w:hAnsi="Arial" w:cs="Arial"/>
          <w:sz w:val="28"/>
          <w:szCs w:val="28"/>
        </w:rPr>
      </w:pPr>
    </w:p>
    <w:p w:rsidR="00C67E6D" w:rsidRDefault="00C67E6D" w:rsidP="00990DF7">
      <w:pPr>
        <w:jc w:val="both"/>
        <w:rPr>
          <w:rFonts w:ascii="Arial" w:hAnsi="Arial" w:cs="Arial"/>
          <w:sz w:val="28"/>
          <w:szCs w:val="28"/>
        </w:rPr>
      </w:pPr>
    </w:p>
    <w:p w:rsidR="00C67E6D" w:rsidRDefault="00C67E6D" w:rsidP="00990DF7">
      <w:pPr>
        <w:jc w:val="both"/>
        <w:rPr>
          <w:rFonts w:ascii="Arial" w:hAnsi="Arial" w:cs="Arial"/>
          <w:sz w:val="28"/>
          <w:szCs w:val="28"/>
        </w:rPr>
      </w:pPr>
    </w:p>
    <w:p w:rsidR="00C67E6D" w:rsidRPr="00990DF7" w:rsidRDefault="00C67E6D" w:rsidP="00990DF7">
      <w:pPr>
        <w:jc w:val="both"/>
        <w:rPr>
          <w:rFonts w:ascii="Arial" w:hAnsi="Arial" w:cs="Arial"/>
          <w:sz w:val="28"/>
          <w:szCs w:val="28"/>
        </w:rPr>
      </w:pPr>
      <w:bookmarkStart w:id="0" w:name="_GoBack"/>
      <w:bookmarkEnd w:id="0"/>
    </w:p>
    <w:tbl>
      <w:tblPr>
        <w:tblStyle w:val="Tablaconcuadrcula"/>
        <w:tblpPr w:leftFromText="141" w:rightFromText="141" w:vertAnchor="text" w:horzAnchor="margin" w:tblpY="128"/>
        <w:tblW w:w="8642" w:type="dxa"/>
        <w:tblLook w:val="04A0" w:firstRow="1" w:lastRow="0" w:firstColumn="1" w:lastColumn="0" w:noHBand="0" w:noVBand="1"/>
      </w:tblPr>
      <w:tblGrid>
        <w:gridCol w:w="3916"/>
        <w:gridCol w:w="1551"/>
        <w:gridCol w:w="3175"/>
      </w:tblGrid>
      <w:tr w:rsidR="001C1067" w:rsidTr="00C67E6D">
        <w:tc>
          <w:tcPr>
            <w:tcW w:w="3916" w:type="dxa"/>
          </w:tcPr>
          <w:p w:rsidR="00990DF7" w:rsidRPr="0095129B" w:rsidRDefault="00990DF7" w:rsidP="00990DF7">
            <w:pPr>
              <w:jc w:val="both"/>
              <w:rPr>
                <w:rFonts w:ascii="Arial" w:hAnsi="Arial" w:cs="Arial"/>
                <w:b/>
                <w:bCs/>
                <w:sz w:val="24"/>
                <w:szCs w:val="24"/>
              </w:rPr>
            </w:pPr>
            <w:r w:rsidRPr="0095129B">
              <w:rPr>
                <w:rFonts w:ascii="Arial" w:hAnsi="Arial" w:cs="Arial"/>
                <w:b/>
                <w:bCs/>
                <w:sz w:val="24"/>
                <w:szCs w:val="24"/>
              </w:rPr>
              <w:lastRenderedPageBreak/>
              <w:t xml:space="preserve">Escala </w:t>
            </w:r>
          </w:p>
        </w:tc>
        <w:tc>
          <w:tcPr>
            <w:tcW w:w="1551" w:type="dxa"/>
          </w:tcPr>
          <w:p w:rsidR="00990DF7" w:rsidRPr="0095129B" w:rsidRDefault="00990DF7" w:rsidP="00990DF7">
            <w:pPr>
              <w:jc w:val="both"/>
              <w:rPr>
                <w:rFonts w:ascii="Arial" w:hAnsi="Arial" w:cs="Arial"/>
                <w:b/>
                <w:bCs/>
                <w:sz w:val="24"/>
                <w:szCs w:val="24"/>
              </w:rPr>
            </w:pPr>
            <w:r w:rsidRPr="0095129B">
              <w:rPr>
                <w:rFonts w:ascii="Arial" w:hAnsi="Arial" w:cs="Arial"/>
                <w:b/>
                <w:bCs/>
                <w:sz w:val="24"/>
                <w:szCs w:val="24"/>
              </w:rPr>
              <w:t>Monto fijo</w:t>
            </w:r>
          </w:p>
        </w:tc>
        <w:tc>
          <w:tcPr>
            <w:tcW w:w="3175" w:type="dxa"/>
          </w:tcPr>
          <w:p w:rsidR="00990DF7" w:rsidRPr="0095129B" w:rsidRDefault="00990DF7" w:rsidP="00990DF7">
            <w:pPr>
              <w:jc w:val="both"/>
              <w:rPr>
                <w:rFonts w:ascii="Arial" w:hAnsi="Arial" w:cs="Arial"/>
                <w:b/>
                <w:bCs/>
                <w:sz w:val="24"/>
                <w:szCs w:val="24"/>
              </w:rPr>
            </w:pPr>
            <w:r w:rsidRPr="0095129B">
              <w:rPr>
                <w:rFonts w:ascii="Arial" w:hAnsi="Arial" w:cs="Arial"/>
                <w:b/>
                <w:bCs/>
                <w:sz w:val="24"/>
                <w:szCs w:val="24"/>
              </w:rPr>
              <w:t>s/</w:t>
            </w:r>
            <w:r w:rsidRPr="0095129B">
              <w:rPr>
                <w:rFonts w:ascii="Arial" w:hAnsi="Arial" w:cs="Arial"/>
                <w:b/>
                <w:bCs/>
                <w:sz w:val="24"/>
                <w:szCs w:val="24"/>
              </w:rPr>
              <w:t xml:space="preserve">excedente </w:t>
            </w:r>
          </w:p>
        </w:tc>
      </w:tr>
      <w:tr w:rsidR="001C1067" w:rsidTr="00C67E6D">
        <w:tc>
          <w:tcPr>
            <w:tcW w:w="3916" w:type="dxa"/>
          </w:tcPr>
          <w:p w:rsidR="00990DF7" w:rsidRPr="00990DF7" w:rsidRDefault="00990DF7" w:rsidP="0095129B">
            <w:pPr>
              <w:rPr>
                <w:rFonts w:ascii="Arial" w:hAnsi="Arial" w:cs="Arial"/>
                <w:sz w:val="24"/>
                <w:szCs w:val="24"/>
              </w:rPr>
            </w:pPr>
            <w:r w:rsidRPr="00990DF7">
              <w:rPr>
                <w:rFonts w:ascii="Arial" w:hAnsi="Arial" w:cs="Arial"/>
                <w:sz w:val="24"/>
                <w:szCs w:val="24"/>
              </w:rPr>
              <w:t>De $ 0 a $893,399</w:t>
            </w:r>
          </w:p>
        </w:tc>
        <w:tc>
          <w:tcPr>
            <w:tcW w:w="1551" w:type="dxa"/>
          </w:tcPr>
          <w:p w:rsidR="00990DF7" w:rsidRPr="00990DF7" w:rsidRDefault="00990DF7" w:rsidP="001C1067">
            <w:pPr>
              <w:jc w:val="right"/>
              <w:rPr>
                <w:rFonts w:ascii="Arial" w:hAnsi="Arial" w:cs="Arial"/>
                <w:sz w:val="24"/>
                <w:szCs w:val="24"/>
              </w:rPr>
            </w:pPr>
            <w:r w:rsidRPr="00990DF7">
              <w:rPr>
                <w:rFonts w:ascii="Arial" w:hAnsi="Arial" w:cs="Arial"/>
                <w:sz w:val="24"/>
                <w:szCs w:val="24"/>
              </w:rPr>
              <w:t>$0</w:t>
            </w:r>
          </w:p>
        </w:tc>
        <w:tc>
          <w:tcPr>
            <w:tcW w:w="3175" w:type="dxa"/>
          </w:tcPr>
          <w:p w:rsidR="00990DF7" w:rsidRPr="00990DF7" w:rsidRDefault="00990DF7" w:rsidP="001C1067">
            <w:pPr>
              <w:jc w:val="right"/>
              <w:rPr>
                <w:rFonts w:ascii="Arial" w:hAnsi="Arial" w:cs="Arial"/>
                <w:sz w:val="24"/>
                <w:szCs w:val="24"/>
              </w:rPr>
            </w:pPr>
            <w:r w:rsidRPr="00990DF7">
              <w:rPr>
                <w:rFonts w:ascii="Arial" w:hAnsi="Arial" w:cs="Arial"/>
                <w:sz w:val="24"/>
                <w:szCs w:val="24"/>
              </w:rPr>
              <w:t>1,6%</w:t>
            </w:r>
          </w:p>
        </w:tc>
      </w:tr>
      <w:tr w:rsidR="001C1067" w:rsidTr="00C67E6D">
        <w:tc>
          <w:tcPr>
            <w:tcW w:w="3916" w:type="dxa"/>
          </w:tcPr>
          <w:p w:rsidR="00990DF7" w:rsidRPr="00990DF7" w:rsidRDefault="00990DF7" w:rsidP="0095129B">
            <w:pPr>
              <w:rPr>
                <w:rFonts w:ascii="Arial" w:hAnsi="Arial" w:cs="Arial"/>
                <w:sz w:val="24"/>
                <w:szCs w:val="24"/>
              </w:rPr>
            </w:pPr>
            <w:r w:rsidRPr="00990DF7">
              <w:rPr>
                <w:rFonts w:ascii="Arial" w:hAnsi="Arial" w:cs="Arial"/>
                <w:sz w:val="24"/>
                <w:szCs w:val="24"/>
              </w:rPr>
              <w:t xml:space="preserve">De </w:t>
            </w:r>
            <w:r w:rsidRPr="00990DF7">
              <w:rPr>
                <w:rFonts w:ascii="Arial" w:hAnsi="Arial" w:cs="Arial"/>
                <w:sz w:val="24"/>
                <w:szCs w:val="24"/>
              </w:rPr>
              <w:t>$893,399</w:t>
            </w:r>
            <w:r w:rsidRPr="00990DF7">
              <w:rPr>
                <w:rFonts w:ascii="Arial" w:hAnsi="Arial" w:cs="Arial"/>
                <w:sz w:val="24"/>
                <w:szCs w:val="24"/>
              </w:rPr>
              <w:t xml:space="preserve"> a </w:t>
            </w:r>
            <w:r w:rsidRPr="00990DF7">
              <w:rPr>
                <w:rFonts w:ascii="Arial" w:hAnsi="Arial" w:cs="Arial"/>
                <w:sz w:val="24"/>
                <w:szCs w:val="24"/>
              </w:rPr>
              <w:t>$1.786.796</w:t>
            </w:r>
          </w:p>
        </w:tc>
        <w:tc>
          <w:tcPr>
            <w:tcW w:w="1551" w:type="dxa"/>
          </w:tcPr>
          <w:p w:rsidR="00990DF7" w:rsidRPr="00990DF7" w:rsidRDefault="00990DF7" w:rsidP="001C1067">
            <w:pPr>
              <w:jc w:val="right"/>
              <w:rPr>
                <w:rFonts w:ascii="Arial" w:hAnsi="Arial" w:cs="Arial"/>
                <w:sz w:val="24"/>
                <w:szCs w:val="24"/>
              </w:rPr>
            </w:pPr>
            <w:r w:rsidRPr="00990DF7">
              <w:rPr>
                <w:rFonts w:ascii="Arial" w:hAnsi="Arial" w:cs="Arial"/>
                <w:sz w:val="24"/>
                <w:szCs w:val="24"/>
              </w:rPr>
              <w:t>$21.476</w:t>
            </w:r>
          </w:p>
        </w:tc>
        <w:tc>
          <w:tcPr>
            <w:tcW w:w="3175" w:type="dxa"/>
          </w:tcPr>
          <w:p w:rsidR="00990DF7" w:rsidRPr="00990DF7" w:rsidRDefault="00990DF7" w:rsidP="001C1067">
            <w:pPr>
              <w:jc w:val="right"/>
              <w:rPr>
                <w:rFonts w:ascii="Arial" w:hAnsi="Arial" w:cs="Arial"/>
                <w:sz w:val="24"/>
                <w:szCs w:val="24"/>
              </w:rPr>
            </w:pPr>
            <w:r>
              <w:rPr>
                <w:rFonts w:ascii="Arial" w:hAnsi="Arial" w:cs="Arial"/>
                <w:sz w:val="24"/>
                <w:szCs w:val="24"/>
              </w:rPr>
              <w:t>de</w:t>
            </w:r>
            <w:r w:rsidRPr="00990DF7">
              <w:rPr>
                <w:rFonts w:ascii="Arial" w:hAnsi="Arial" w:cs="Arial"/>
                <w:sz w:val="24"/>
                <w:szCs w:val="24"/>
              </w:rPr>
              <w:t xml:space="preserve"> $893.399 un 1,63%</w:t>
            </w:r>
          </w:p>
        </w:tc>
      </w:tr>
      <w:tr w:rsidR="001C1067" w:rsidTr="00C67E6D">
        <w:tc>
          <w:tcPr>
            <w:tcW w:w="3916" w:type="dxa"/>
          </w:tcPr>
          <w:p w:rsidR="00990DF7" w:rsidRPr="00990DF7" w:rsidRDefault="001C1067" w:rsidP="0095129B">
            <w:pPr>
              <w:rPr>
                <w:rFonts w:ascii="Arial" w:hAnsi="Arial" w:cs="Arial"/>
                <w:sz w:val="24"/>
                <w:szCs w:val="24"/>
              </w:rPr>
            </w:pPr>
            <w:r>
              <w:rPr>
                <w:rFonts w:ascii="Arial" w:hAnsi="Arial" w:cs="Arial"/>
                <w:sz w:val="24"/>
                <w:szCs w:val="24"/>
              </w:rPr>
              <w:t xml:space="preserve">De </w:t>
            </w:r>
            <w:r w:rsidRPr="00990DF7">
              <w:rPr>
                <w:rFonts w:ascii="Arial" w:hAnsi="Arial" w:cs="Arial"/>
                <w:sz w:val="24"/>
                <w:szCs w:val="24"/>
              </w:rPr>
              <w:t>$1.786.796</w:t>
            </w:r>
            <w:r>
              <w:rPr>
                <w:rFonts w:ascii="Arial" w:hAnsi="Arial" w:cs="Arial"/>
                <w:sz w:val="24"/>
                <w:szCs w:val="24"/>
              </w:rPr>
              <w:t xml:space="preserve"> a </w:t>
            </w:r>
            <w:r w:rsidRPr="001C1067">
              <w:rPr>
                <w:rFonts w:ascii="Arial" w:hAnsi="Arial" w:cs="Arial"/>
                <w:sz w:val="24"/>
                <w:szCs w:val="24"/>
              </w:rPr>
              <w:t>$3.573.593</w:t>
            </w:r>
          </w:p>
        </w:tc>
        <w:tc>
          <w:tcPr>
            <w:tcW w:w="1551" w:type="dxa"/>
          </w:tcPr>
          <w:p w:rsidR="00990DF7" w:rsidRPr="00990DF7" w:rsidRDefault="001C1067" w:rsidP="001C1067">
            <w:pPr>
              <w:jc w:val="right"/>
              <w:rPr>
                <w:rFonts w:ascii="Arial" w:hAnsi="Arial" w:cs="Arial"/>
                <w:sz w:val="24"/>
                <w:szCs w:val="24"/>
              </w:rPr>
            </w:pPr>
            <w:r w:rsidRPr="001C1067">
              <w:rPr>
                <w:rFonts w:ascii="Arial" w:hAnsi="Arial" w:cs="Arial"/>
                <w:sz w:val="24"/>
                <w:szCs w:val="24"/>
              </w:rPr>
              <w:t>$28.903</w:t>
            </w:r>
          </w:p>
        </w:tc>
        <w:tc>
          <w:tcPr>
            <w:tcW w:w="3175" w:type="dxa"/>
          </w:tcPr>
          <w:p w:rsidR="00990DF7" w:rsidRPr="00990DF7" w:rsidRDefault="001C1067" w:rsidP="001C1067">
            <w:pPr>
              <w:jc w:val="right"/>
              <w:rPr>
                <w:rFonts w:ascii="Arial" w:hAnsi="Arial" w:cs="Arial"/>
                <w:sz w:val="24"/>
                <w:szCs w:val="24"/>
              </w:rPr>
            </w:pPr>
            <w:r w:rsidRPr="001C1067">
              <w:rPr>
                <w:rFonts w:ascii="Arial" w:hAnsi="Arial" w:cs="Arial"/>
                <w:sz w:val="24"/>
                <w:szCs w:val="24"/>
              </w:rPr>
              <w:t>de $1.786.796 un 1,69%</w:t>
            </w:r>
          </w:p>
        </w:tc>
      </w:tr>
      <w:tr w:rsidR="001C1067" w:rsidTr="00C67E6D">
        <w:tc>
          <w:tcPr>
            <w:tcW w:w="3916" w:type="dxa"/>
          </w:tcPr>
          <w:p w:rsidR="00990DF7" w:rsidRPr="00990DF7" w:rsidRDefault="001C1067" w:rsidP="0095129B">
            <w:pPr>
              <w:rPr>
                <w:rFonts w:ascii="Arial" w:hAnsi="Arial" w:cs="Arial"/>
                <w:sz w:val="24"/>
                <w:szCs w:val="24"/>
              </w:rPr>
            </w:pPr>
            <w:r>
              <w:rPr>
                <w:rFonts w:ascii="Arial" w:hAnsi="Arial" w:cs="Arial"/>
                <w:sz w:val="24"/>
                <w:szCs w:val="24"/>
              </w:rPr>
              <w:t xml:space="preserve">De </w:t>
            </w:r>
            <w:r w:rsidRPr="001C1067">
              <w:rPr>
                <w:rFonts w:ascii="Arial" w:hAnsi="Arial" w:cs="Arial"/>
                <w:sz w:val="24"/>
                <w:szCs w:val="24"/>
              </w:rPr>
              <w:t>$3.573.593 a</w:t>
            </w:r>
            <w:r>
              <w:rPr>
                <w:rFonts w:ascii="Arial" w:hAnsi="Arial" w:cs="Arial"/>
                <w:sz w:val="24"/>
                <w:szCs w:val="24"/>
              </w:rPr>
              <w:t xml:space="preserve"> </w:t>
            </w:r>
            <w:r w:rsidRPr="001C1067">
              <w:rPr>
                <w:rFonts w:ascii="Arial" w:hAnsi="Arial" w:cs="Arial"/>
                <w:sz w:val="24"/>
                <w:szCs w:val="24"/>
              </w:rPr>
              <w:t>$7.147.183</w:t>
            </w:r>
          </w:p>
        </w:tc>
        <w:tc>
          <w:tcPr>
            <w:tcW w:w="1551" w:type="dxa"/>
          </w:tcPr>
          <w:p w:rsidR="00990DF7" w:rsidRPr="00990DF7" w:rsidRDefault="001C1067" w:rsidP="001C1067">
            <w:pPr>
              <w:jc w:val="right"/>
              <w:rPr>
                <w:rFonts w:ascii="Arial" w:hAnsi="Arial" w:cs="Arial"/>
                <w:sz w:val="24"/>
                <w:szCs w:val="24"/>
              </w:rPr>
            </w:pPr>
            <w:r w:rsidRPr="001C1067">
              <w:rPr>
                <w:rFonts w:ascii="Arial" w:hAnsi="Arial" w:cs="Arial"/>
                <w:sz w:val="24"/>
                <w:szCs w:val="24"/>
              </w:rPr>
              <w:t>$59.148</w:t>
            </w:r>
          </w:p>
        </w:tc>
        <w:tc>
          <w:tcPr>
            <w:tcW w:w="3175" w:type="dxa"/>
          </w:tcPr>
          <w:p w:rsidR="00990DF7" w:rsidRPr="00990DF7" w:rsidRDefault="001C1067" w:rsidP="001C1067">
            <w:pPr>
              <w:jc w:val="right"/>
              <w:rPr>
                <w:rFonts w:ascii="Arial" w:hAnsi="Arial" w:cs="Arial"/>
                <w:sz w:val="24"/>
                <w:szCs w:val="24"/>
              </w:rPr>
            </w:pPr>
            <w:r w:rsidRPr="001C1067">
              <w:rPr>
                <w:rFonts w:ascii="Arial" w:hAnsi="Arial" w:cs="Arial"/>
                <w:sz w:val="24"/>
                <w:szCs w:val="24"/>
              </w:rPr>
              <w:t>de $3.573.593 un 1,81%</w:t>
            </w:r>
          </w:p>
        </w:tc>
      </w:tr>
      <w:tr w:rsidR="001C1067" w:rsidTr="00C67E6D">
        <w:tc>
          <w:tcPr>
            <w:tcW w:w="3916" w:type="dxa"/>
          </w:tcPr>
          <w:p w:rsidR="00990DF7" w:rsidRPr="00990DF7" w:rsidRDefault="001C1067" w:rsidP="0095129B">
            <w:pPr>
              <w:rPr>
                <w:rFonts w:ascii="Arial" w:hAnsi="Arial" w:cs="Arial"/>
                <w:sz w:val="24"/>
                <w:szCs w:val="24"/>
              </w:rPr>
            </w:pPr>
            <w:r>
              <w:rPr>
                <w:rFonts w:ascii="Arial" w:hAnsi="Arial" w:cs="Arial"/>
                <w:sz w:val="24"/>
                <w:szCs w:val="24"/>
              </w:rPr>
              <w:t xml:space="preserve">De </w:t>
            </w:r>
            <w:r w:rsidRPr="001C1067">
              <w:rPr>
                <w:rFonts w:ascii="Arial" w:hAnsi="Arial" w:cs="Arial"/>
                <w:sz w:val="24"/>
                <w:szCs w:val="24"/>
              </w:rPr>
              <w:t>$7.147.183 a $14.294.370</w:t>
            </w:r>
          </w:p>
        </w:tc>
        <w:tc>
          <w:tcPr>
            <w:tcW w:w="1551" w:type="dxa"/>
          </w:tcPr>
          <w:p w:rsidR="00990DF7" w:rsidRPr="00990DF7" w:rsidRDefault="0095129B" w:rsidP="0095129B">
            <w:pPr>
              <w:jc w:val="right"/>
              <w:rPr>
                <w:rFonts w:ascii="Arial" w:hAnsi="Arial" w:cs="Arial"/>
                <w:sz w:val="24"/>
                <w:szCs w:val="24"/>
              </w:rPr>
            </w:pPr>
            <w:r w:rsidRPr="0095129B">
              <w:rPr>
                <w:rFonts w:ascii="Arial" w:hAnsi="Arial" w:cs="Arial"/>
                <w:sz w:val="24"/>
                <w:szCs w:val="24"/>
              </w:rPr>
              <w:t>$123.934</w:t>
            </w:r>
          </w:p>
        </w:tc>
        <w:tc>
          <w:tcPr>
            <w:tcW w:w="3175" w:type="dxa"/>
          </w:tcPr>
          <w:p w:rsidR="00990DF7" w:rsidRPr="00990DF7" w:rsidRDefault="0095129B" w:rsidP="0095129B">
            <w:pPr>
              <w:jc w:val="right"/>
              <w:rPr>
                <w:rFonts w:ascii="Arial" w:hAnsi="Arial" w:cs="Arial"/>
                <w:sz w:val="24"/>
                <w:szCs w:val="24"/>
              </w:rPr>
            </w:pPr>
            <w:r w:rsidRPr="0095129B">
              <w:rPr>
                <w:rFonts w:ascii="Arial" w:hAnsi="Arial" w:cs="Arial"/>
                <w:sz w:val="24"/>
                <w:szCs w:val="24"/>
              </w:rPr>
              <w:t>de $7.147.183 un 2%</w:t>
            </w:r>
          </w:p>
        </w:tc>
      </w:tr>
      <w:tr w:rsidR="001C1067" w:rsidTr="00C67E6D">
        <w:tc>
          <w:tcPr>
            <w:tcW w:w="3916" w:type="dxa"/>
          </w:tcPr>
          <w:p w:rsidR="00990DF7" w:rsidRPr="00990DF7" w:rsidRDefault="0095129B" w:rsidP="00990DF7">
            <w:pPr>
              <w:jc w:val="both"/>
              <w:rPr>
                <w:rFonts w:ascii="Arial" w:hAnsi="Arial" w:cs="Arial"/>
                <w:sz w:val="24"/>
                <w:szCs w:val="24"/>
              </w:rPr>
            </w:pPr>
            <w:r>
              <w:rPr>
                <w:rFonts w:ascii="Arial" w:hAnsi="Arial" w:cs="Arial"/>
                <w:sz w:val="24"/>
                <w:szCs w:val="24"/>
              </w:rPr>
              <w:t xml:space="preserve">De </w:t>
            </w:r>
            <w:r w:rsidRPr="0095129B">
              <w:rPr>
                <w:rFonts w:ascii="Arial" w:hAnsi="Arial" w:cs="Arial"/>
                <w:sz w:val="24"/>
                <w:szCs w:val="24"/>
              </w:rPr>
              <w:t>$14.294.370 a $28.588.738</w:t>
            </w:r>
          </w:p>
        </w:tc>
        <w:tc>
          <w:tcPr>
            <w:tcW w:w="1551" w:type="dxa"/>
          </w:tcPr>
          <w:p w:rsidR="00990DF7" w:rsidRPr="00990DF7" w:rsidRDefault="0095129B" w:rsidP="0095129B">
            <w:pPr>
              <w:jc w:val="right"/>
              <w:rPr>
                <w:rFonts w:ascii="Arial" w:hAnsi="Arial" w:cs="Arial"/>
                <w:sz w:val="24"/>
                <w:szCs w:val="24"/>
              </w:rPr>
            </w:pPr>
            <w:r w:rsidRPr="0095129B">
              <w:rPr>
                <w:rFonts w:ascii="Arial" w:hAnsi="Arial" w:cs="Arial"/>
                <w:sz w:val="24"/>
                <w:szCs w:val="24"/>
              </w:rPr>
              <w:t>$270.687</w:t>
            </w:r>
          </w:p>
        </w:tc>
        <w:tc>
          <w:tcPr>
            <w:tcW w:w="3175" w:type="dxa"/>
          </w:tcPr>
          <w:p w:rsidR="00990DF7" w:rsidRPr="00990DF7" w:rsidRDefault="0095129B" w:rsidP="0095129B">
            <w:pPr>
              <w:jc w:val="right"/>
              <w:rPr>
                <w:rFonts w:ascii="Arial" w:hAnsi="Arial" w:cs="Arial"/>
                <w:sz w:val="24"/>
                <w:szCs w:val="24"/>
              </w:rPr>
            </w:pPr>
            <w:r w:rsidRPr="0095129B">
              <w:rPr>
                <w:rFonts w:ascii="Arial" w:hAnsi="Arial" w:cs="Arial"/>
                <w:sz w:val="24"/>
                <w:szCs w:val="24"/>
              </w:rPr>
              <w:t>de $14.294.370 un 2,5%</w:t>
            </w:r>
          </w:p>
        </w:tc>
      </w:tr>
      <w:tr w:rsidR="0095129B" w:rsidTr="00C67E6D">
        <w:tc>
          <w:tcPr>
            <w:tcW w:w="3916" w:type="dxa"/>
          </w:tcPr>
          <w:p w:rsidR="0095129B" w:rsidRPr="00990DF7" w:rsidRDefault="0095129B" w:rsidP="00990DF7">
            <w:pPr>
              <w:jc w:val="both"/>
              <w:rPr>
                <w:rFonts w:ascii="Arial" w:hAnsi="Arial" w:cs="Arial"/>
                <w:sz w:val="24"/>
                <w:szCs w:val="24"/>
              </w:rPr>
            </w:pPr>
            <w:r>
              <w:rPr>
                <w:rFonts w:ascii="Arial" w:hAnsi="Arial" w:cs="Arial"/>
                <w:sz w:val="24"/>
                <w:szCs w:val="24"/>
              </w:rPr>
              <w:t xml:space="preserve">De </w:t>
            </w:r>
            <w:r w:rsidRPr="0095129B">
              <w:rPr>
                <w:rFonts w:ascii="Arial" w:hAnsi="Arial" w:cs="Arial"/>
                <w:sz w:val="24"/>
                <w:szCs w:val="24"/>
              </w:rPr>
              <w:t>$28.588.738 a $57.177.476</w:t>
            </w:r>
          </w:p>
        </w:tc>
        <w:tc>
          <w:tcPr>
            <w:tcW w:w="1551" w:type="dxa"/>
          </w:tcPr>
          <w:p w:rsidR="0095129B" w:rsidRPr="00990DF7" w:rsidRDefault="0095129B" w:rsidP="0095129B">
            <w:pPr>
              <w:jc w:val="right"/>
              <w:rPr>
                <w:rFonts w:ascii="Arial" w:hAnsi="Arial" w:cs="Arial"/>
                <w:sz w:val="24"/>
                <w:szCs w:val="24"/>
              </w:rPr>
            </w:pPr>
            <w:r w:rsidRPr="0095129B">
              <w:rPr>
                <w:rFonts w:ascii="Arial" w:hAnsi="Arial" w:cs="Arial"/>
                <w:sz w:val="24"/>
                <w:szCs w:val="24"/>
              </w:rPr>
              <w:t>$632.906</w:t>
            </w:r>
          </w:p>
        </w:tc>
        <w:tc>
          <w:tcPr>
            <w:tcW w:w="3175" w:type="dxa"/>
          </w:tcPr>
          <w:p w:rsidR="0095129B" w:rsidRPr="00990DF7" w:rsidRDefault="0095129B" w:rsidP="0095129B">
            <w:pPr>
              <w:jc w:val="right"/>
              <w:rPr>
                <w:rFonts w:ascii="Arial" w:hAnsi="Arial" w:cs="Arial"/>
                <w:sz w:val="24"/>
                <w:szCs w:val="24"/>
              </w:rPr>
            </w:pPr>
            <w:r w:rsidRPr="0095129B">
              <w:rPr>
                <w:rFonts w:ascii="Arial" w:hAnsi="Arial" w:cs="Arial"/>
                <w:sz w:val="24"/>
                <w:szCs w:val="24"/>
              </w:rPr>
              <w:t>de $28.588.738 un 3,49%</w:t>
            </w:r>
          </w:p>
        </w:tc>
      </w:tr>
      <w:tr w:rsidR="0095129B" w:rsidTr="00C67E6D">
        <w:tc>
          <w:tcPr>
            <w:tcW w:w="3916" w:type="dxa"/>
          </w:tcPr>
          <w:p w:rsidR="0095129B" w:rsidRPr="00990DF7" w:rsidRDefault="0095129B" w:rsidP="00990DF7">
            <w:pPr>
              <w:jc w:val="both"/>
              <w:rPr>
                <w:rFonts w:ascii="Arial" w:hAnsi="Arial" w:cs="Arial"/>
                <w:sz w:val="24"/>
                <w:szCs w:val="24"/>
              </w:rPr>
            </w:pPr>
            <w:r>
              <w:rPr>
                <w:rFonts w:ascii="Arial" w:hAnsi="Arial" w:cs="Arial"/>
                <w:sz w:val="24"/>
                <w:szCs w:val="24"/>
              </w:rPr>
              <w:t xml:space="preserve">De </w:t>
            </w:r>
            <w:r w:rsidRPr="0095129B">
              <w:rPr>
                <w:rFonts w:ascii="Arial" w:hAnsi="Arial" w:cs="Arial"/>
                <w:sz w:val="24"/>
                <w:szCs w:val="24"/>
              </w:rPr>
              <w:t>$57.177.476</w:t>
            </w:r>
            <w:r>
              <w:rPr>
                <w:rFonts w:ascii="Arial" w:hAnsi="Arial" w:cs="Arial"/>
                <w:sz w:val="24"/>
                <w:szCs w:val="24"/>
              </w:rPr>
              <w:t xml:space="preserve"> </w:t>
            </w:r>
            <w:r w:rsidRPr="0095129B">
              <w:rPr>
                <w:rFonts w:ascii="Arial" w:hAnsi="Arial" w:cs="Arial"/>
                <w:sz w:val="24"/>
                <w:szCs w:val="24"/>
              </w:rPr>
              <w:t>a $114.534.953</w:t>
            </w:r>
          </w:p>
        </w:tc>
        <w:tc>
          <w:tcPr>
            <w:tcW w:w="1551" w:type="dxa"/>
          </w:tcPr>
          <w:p w:rsidR="0095129B" w:rsidRPr="00990DF7" w:rsidRDefault="0095129B" w:rsidP="0095129B">
            <w:pPr>
              <w:jc w:val="right"/>
              <w:rPr>
                <w:rFonts w:ascii="Arial" w:hAnsi="Arial" w:cs="Arial"/>
                <w:sz w:val="24"/>
                <w:szCs w:val="24"/>
              </w:rPr>
            </w:pPr>
            <w:r>
              <w:rPr>
                <w:rFonts w:ascii="Arial" w:hAnsi="Arial" w:cs="Arial"/>
                <w:sz w:val="24"/>
                <w:szCs w:val="24"/>
              </w:rPr>
              <w:t>$</w:t>
            </w:r>
            <w:r w:rsidRPr="0095129B">
              <w:rPr>
                <w:rFonts w:ascii="Arial" w:hAnsi="Arial" w:cs="Arial"/>
                <w:sz w:val="24"/>
                <w:szCs w:val="24"/>
              </w:rPr>
              <w:t>1.632.254</w:t>
            </w:r>
          </w:p>
        </w:tc>
        <w:tc>
          <w:tcPr>
            <w:tcW w:w="3175" w:type="dxa"/>
          </w:tcPr>
          <w:p w:rsidR="0095129B" w:rsidRPr="00990DF7" w:rsidRDefault="0095129B" w:rsidP="0095129B">
            <w:pPr>
              <w:jc w:val="right"/>
              <w:rPr>
                <w:rFonts w:ascii="Arial" w:hAnsi="Arial" w:cs="Arial"/>
                <w:sz w:val="24"/>
                <w:szCs w:val="24"/>
              </w:rPr>
            </w:pPr>
            <w:r w:rsidRPr="0095129B">
              <w:rPr>
                <w:rFonts w:ascii="Arial" w:hAnsi="Arial" w:cs="Arial"/>
                <w:sz w:val="24"/>
                <w:szCs w:val="24"/>
              </w:rPr>
              <w:t>de $57.177.476 un 5,41%</w:t>
            </w:r>
          </w:p>
        </w:tc>
      </w:tr>
      <w:tr w:rsidR="0095129B" w:rsidTr="00C67E6D">
        <w:tc>
          <w:tcPr>
            <w:tcW w:w="3916" w:type="dxa"/>
          </w:tcPr>
          <w:p w:rsidR="0095129B" w:rsidRPr="00990DF7" w:rsidRDefault="00C67E6D" w:rsidP="00990DF7">
            <w:pPr>
              <w:jc w:val="both"/>
              <w:rPr>
                <w:rFonts w:ascii="Arial" w:hAnsi="Arial" w:cs="Arial"/>
                <w:sz w:val="24"/>
                <w:szCs w:val="24"/>
              </w:rPr>
            </w:pPr>
            <w:r>
              <w:rPr>
                <w:rFonts w:ascii="Arial" w:hAnsi="Arial" w:cs="Arial"/>
                <w:sz w:val="24"/>
                <w:szCs w:val="24"/>
              </w:rPr>
              <w:t xml:space="preserve">De </w:t>
            </w:r>
            <w:r w:rsidRPr="00C67E6D">
              <w:rPr>
                <w:rFonts w:ascii="Arial" w:hAnsi="Arial" w:cs="Arial"/>
                <w:sz w:val="24"/>
                <w:szCs w:val="24"/>
              </w:rPr>
              <w:t>$114.534.953</w:t>
            </w:r>
            <w:r>
              <w:rPr>
                <w:rFonts w:ascii="Arial" w:hAnsi="Arial" w:cs="Arial"/>
                <w:sz w:val="24"/>
                <w:szCs w:val="24"/>
              </w:rPr>
              <w:t xml:space="preserve"> </w:t>
            </w:r>
            <w:r w:rsidRPr="00C67E6D">
              <w:rPr>
                <w:rFonts w:ascii="Arial" w:hAnsi="Arial" w:cs="Arial"/>
                <w:sz w:val="24"/>
                <w:szCs w:val="24"/>
              </w:rPr>
              <w:t>a $250.000.000</w:t>
            </w:r>
          </w:p>
        </w:tc>
        <w:tc>
          <w:tcPr>
            <w:tcW w:w="1551" w:type="dxa"/>
          </w:tcPr>
          <w:p w:rsidR="0095129B" w:rsidRPr="00990DF7" w:rsidRDefault="00C67E6D" w:rsidP="00C67E6D">
            <w:pPr>
              <w:jc w:val="right"/>
              <w:rPr>
                <w:rFonts w:ascii="Arial" w:hAnsi="Arial" w:cs="Arial"/>
                <w:sz w:val="24"/>
                <w:szCs w:val="24"/>
              </w:rPr>
            </w:pPr>
            <w:r w:rsidRPr="00C67E6D">
              <w:rPr>
                <w:rFonts w:ascii="Arial" w:hAnsi="Arial" w:cs="Arial"/>
                <w:sz w:val="24"/>
                <w:szCs w:val="24"/>
              </w:rPr>
              <w:t>$4.730.473</w:t>
            </w:r>
          </w:p>
        </w:tc>
        <w:tc>
          <w:tcPr>
            <w:tcW w:w="3175" w:type="dxa"/>
          </w:tcPr>
          <w:p w:rsidR="0095129B" w:rsidRPr="00990DF7" w:rsidRDefault="00C67E6D" w:rsidP="00C67E6D">
            <w:pPr>
              <w:jc w:val="right"/>
              <w:rPr>
                <w:rFonts w:ascii="Arial" w:hAnsi="Arial" w:cs="Arial"/>
                <w:sz w:val="24"/>
                <w:szCs w:val="24"/>
              </w:rPr>
            </w:pPr>
            <w:r w:rsidRPr="00C67E6D">
              <w:rPr>
                <w:rFonts w:ascii="Arial" w:hAnsi="Arial" w:cs="Arial"/>
                <w:sz w:val="24"/>
                <w:szCs w:val="24"/>
              </w:rPr>
              <w:t>de $114.534.953 un 6,38%</w:t>
            </w:r>
          </w:p>
        </w:tc>
      </w:tr>
      <w:tr w:rsidR="0095129B" w:rsidTr="00C67E6D">
        <w:tc>
          <w:tcPr>
            <w:tcW w:w="3916" w:type="dxa"/>
          </w:tcPr>
          <w:p w:rsidR="0095129B" w:rsidRPr="00990DF7" w:rsidRDefault="00C67E6D" w:rsidP="00990DF7">
            <w:pPr>
              <w:jc w:val="both"/>
              <w:rPr>
                <w:rFonts w:ascii="Arial" w:hAnsi="Arial" w:cs="Arial"/>
                <w:sz w:val="24"/>
                <w:szCs w:val="24"/>
              </w:rPr>
            </w:pPr>
            <w:r>
              <w:rPr>
                <w:rFonts w:ascii="Arial" w:hAnsi="Arial" w:cs="Arial"/>
                <w:sz w:val="24"/>
                <w:szCs w:val="24"/>
              </w:rPr>
              <w:t xml:space="preserve">De </w:t>
            </w:r>
            <w:r w:rsidRPr="00C67E6D">
              <w:rPr>
                <w:rFonts w:ascii="Arial" w:hAnsi="Arial" w:cs="Arial"/>
                <w:sz w:val="24"/>
                <w:szCs w:val="24"/>
              </w:rPr>
              <w:t>$250.000.000 a $500.000.000</w:t>
            </w:r>
          </w:p>
        </w:tc>
        <w:tc>
          <w:tcPr>
            <w:tcW w:w="1551" w:type="dxa"/>
          </w:tcPr>
          <w:p w:rsidR="0095129B" w:rsidRPr="00990DF7" w:rsidRDefault="00C67E6D" w:rsidP="00C67E6D">
            <w:pPr>
              <w:rPr>
                <w:rFonts w:ascii="Arial" w:hAnsi="Arial" w:cs="Arial"/>
                <w:sz w:val="24"/>
                <w:szCs w:val="24"/>
              </w:rPr>
            </w:pPr>
            <w:r w:rsidRPr="00C67E6D">
              <w:rPr>
                <w:rFonts w:ascii="Arial" w:hAnsi="Arial" w:cs="Arial"/>
                <w:sz w:val="24"/>
                <w:szCs w:val="24"/>
              </w:rPr>
              <w:t>$13.384.898</w:t>
            </w:r>
          </w:p>
        </w:tc>
        <w:tc>
          <w:tcPr>
            <w:tcW w:w="3175" w:type="dxa"/>
          </w:tcPr>
          <w:p w:rsidR="0095129B" w:rsidRPr="00990DF7" w:rsidRDefault="00C67E6D" w:rsidP="00C67E6D">
            <w:pPr>
              <w:jc w:val="right"/>
              <w:rPr>
                <w:rFonts w:ascii="Arial" w:hAnsi="Arial" w:cs="Arial"/>
                <w:sz w:val="24"/>
                <w:szCs w:val="24"/>
              </w:rPr>
            </w:pPr>
            <w:r w:rsidRPr="00C67E6D">
              <w:rPr>
                <w:rFonts w:ascii="Arial" w:hAnsi="Arial" w:cs="Arial"/>
                <w:sz w:val="24"/>
                <w:szCs w:val="24"/>
              </w:rPr>
              <w:t>de $250.000.000 un 6,51%</w:t>
            </w:r>
          </w:p>
        </w:tc>
      </w:tr>
      <w:tr w:rsidR="0095129B" w:rsidTr="00C67E6D">
        <w:tc>
          <w:tcPr>
            <w:tcW w:w="3916" w:type="dxa"/>
          </w:tcPr>
          <w:p w:rsidR="0095129B" w:rsidRPr="00990DF7" w:rsidRDefault="00C67E6D" w:rsidP="00990DF7">
            <w:pPr>
              <w:jc w:val="both"/>
              <w:rPr>
                <w:rFonts w:ascii="Arial" w:hAnsi="Arial" w:cs="Arial"/>
                <w:sz w:val="24"/>
                <w:szCs w:val="24"/>
              </w:rPr>
            </w:pPr>
            <w:r>
              <w:rPr>
                <w:rFonts w:ascii="Arial" w:hAnsi="Arial" w:cs="Arial"/>
                <w:sz w:val="24"/>
                <w:szCs w:val="24"/>
              </w:rPr>
              <w:t xml:space="preserve">De </w:t>
            </w:r>
            <w:r w:rsidRPr="00C67E6D">
              <w:rPr>
                <w:rFonts w:ascii="Arial" w:hAnsi="Arial" w:cs="Arial"/>
                <w:sz w:val="24"/>
                <w:szCs w:val="24"/>
              </w:rPr>
              <w:t>$500.000.000a $1.000.000.000</w:t>
            </w:r>
          </w:p>
        </w:tc>
        <w:tc>
          <w:tcPr>
            <w:tcW w:w="1551" w:type="dxa"/>
          </w:tcPr>
          <w:p w:rsidR="0095129B" w:rsidRPr="00990DF7" w:rsidRDefault="00C67E6D" w:rsidP="00990DF7">
            <w:pPr>
              <w:jc w:val="both"/>
              <w:rPr>
                <w:rFonts w:ascii="Arial" w:hAnsi="Arial" w:cs="Arial"/>
                <w:sz w:val="24"/>
                <w:szCs w:val="24"/>
              </w:rPr>
            </w:pPr>
            <w:r w:rsidRPr="00C67E6D">
              <w:rPr>
                <w:rFonts w:ascii="Arial" w:hAnsi="Arial" w:cs="Arial"/>
                <w:sz w:val="24"/>
                <w:szCs w:val="24"/>
              </w:rPr>
              <w:t>$29.670.648</w:t>
            </w:r>
          </w:p>
        </w:tc>
        <w:tc>
          <w:tcPr>
            <w:tcW w:w="3175" w:type="dxa"/>
          </w:tcPr>
          <w:p w:rsidR="0095129B" w:rsidRPr="00990DF7" w:rsidRDefault="00C67E6D" w:rsidP="00C67E6D">
            <w:pPr>
              <w:jc w:val="right"/>
              <w:rPr>
                <w:rFonts w:ascii="Arial" w:hAnsi="Arial" w:cs="Arial"/>
                <w:sz w:val="24"/>
                <w:szCs w:val="24"/>
              </w:rPr>
            </w:pPr>
            <w:r w:rsidRPr="00C67E6D">
              <w:rPr>
                <w:rFonts w:ascii="Arial" w:hAnsi="Arial" w:cs="Arial"/>
                <w:sz w:val="24"/>
                <w:szCs w:val="24"/>
              </w:rPr>
              <w:t>de $500.000.000 un 6,75%</w:t>
            </w:r>
          </w:p>
        </w:tc>
      </w:tr>
      <w:tr w:rsidR="0095129B" w:rsidTr="00C67E6D">
        <w:tc>
          <w:tcPr>
            <w:tcW w:w="3916" w:type="dxa"/>
          </w:tcPr>
          <w:p w:rsidR="0095129B" w:rsidRPr="00990DF7" w:rsidRDefault="00C67E6D" w:rsidP="00990DF7">
            <w:pPr>
              <w:jc w:val="both"/>
              <w:rPr>
                <w:rFonts w:ascii="Arial" w:hAnsi="Arial" w:cs="Arial"/>
                <w:sz w:val="24"/>
                <w:szCs w:val="24"/>
              </w:rPr>
            </w:pPr>
            <w:r w:rsidRPr="00C67E6D">
              <w:rPr>
                <w:rFonts w:ascii="Arial" w:hAnsi="Arial" w:cs="Arial"/>
                <w:sz w:val="24"/>
                <w:szCs w:val="24"/>
              </w:rPr>
              <w:t>mayor a $1.000.000.000</w:t>
            </w:r>
          </w:p>
        </w:tc>
        <w:tc>
          <w:tcPr>
            <w:tcW w:w="1551" w:type="dxa"/>
          </w:tcPr>
          <w:p w:rsidR="0095129B" w:rsidRPr="00990DF7" w:rsidRDefault="00C67E6D" w:rsidP="00990DF7">
            <w:pPr>
              <w:jc w:val="both"/>
              <w:rPr>
                <w:rFonts w:ascii="Arial" w:hAnsi="Arial" w:cs="Arial"/>
                <w:sz w:val="24"/>
                <w:szCs w:val="24"/>
              </w:rPr>
            </w:pPr>
            <w:r w:rsidRPr="00C67E6D">
              <w:rPr>
                <w:rFonts w:ascii="Arial" w:hAnsi="Arial" w:cs="Arial"/>
                <w:sz w:val="24"/>
                <w:szCs w:val="24"/>
              </w:rPr>
              <w:t>$63.434.148</w:t>
            </w:r>
          </w:p>
        </w:tc>
        <w:tc>
          <w:tcPr>
            <w:tcW w:w="3175" w:type="dxa"/>
          </w:tcPr>
          <w:p w:rsidR="0095129B" w:rsidRPr="00990DF7" w:rsidRDefault="00C67E6D" w:rsidP="00C67E6D">
            <w:pPr>
              <w:jc w:val="right"/>
              <w:rPr>
                <w:rFonts w:ascii="Arial" w:hAnsi="Arial" w:cs="Arial"/>
                <w:sz w:val="24"/>
                <w:szCs w:val="24"/>
              </w:rPr>
            </w:pPr>
            <w:r w:rsidRPr="00C67E6D">
              <w:rPr>
                <w:rFonts w:ascii="Arial" w:hAnsi="Arial" w:cs="Arial"/>
                <w:sz w:val="24"/>
                <w:szCs w:val="24"/>
              </w:rPr>
              <w:t>de $ 1.000.000.000 un 7%</w:t>
            </w:r>
          </w:p>
        </w:tc>
      </w:tr>
    </w:tbl>
    <w:p w:rsidR="00990DF7" w:rsidRPr="00990DF7" w:rsidRDefault="00990DF7" w:rsidP="00990DF7">
      <w:pPr>
        <w:jc w:val="both"/>
        <w:rPr>
          <w:rFonts w:ascii="Arial" w:hAnsi="Arial" w:cs="Arial"/>
          <w:sz w:val="28"/>
          <w:szCs w:val="28"/>
        </w:rPr>
      </w:pPr>
    </w:p>
    <w:p w:rsidR="00990DF7" w:rsidRPr="00990DF7" w:rsidRDefault="00990DF7" w:rsidP="00990DF7">
      <w:pPr>
        <w:jc w:val="both"/>
        <w:rPr>
          <w:rFonts w:ascii="Arial" w:hAnsi="Arial" w:cs="Arial"/>
          <w:sz w:val="28"/>
          <w:szCs w:val="28"/>
        </w:rPr>
      </w:pPr>
      <w:r w:rsidRPr="00990DF7">
        <w:rPr>
          <w:rFonts w:ascii="Arial" w:hAnsi="Arial" w:cs="Arial"/>
          <w:sz w:val="28"/>
          <w:szCs w:val="28"/>
        </w:rPr>
        <w:t>¿Quién paga el impuesto a la transferencia gratuita de bienes?</w:t>
      </w:r>
    </w:p>
    <w:p w:rsidR="00990DF7" w:rsidRPr="00990DF7" w:rsidRDefault="00990DF7" w:rsidP="00990DF7">
      <w:pPr>
        <w:jc w:val="both"/>
        <w:rPr>
          <w:rFonts w:ascii="Arial" w:hAnsi="Arial" w:cs="Arial"/>
          <w:sz w:val="28"/>
          <w:szCs w:val="28"/>
        </w:rPr>
      </w:pPr>
      <w:r w:rsidRPr="00990DF7">
        <w:rPr>
          <w:rFonts w:ascii="Arial" w:hAnsi="Arial" w:cs="Arial"/>
          <w:sz w:val="28"/>
          <w:szCs w:val="28"/>
        </w:rPr>
        <w:t>Deben pagar el impuesto a la transferencia gratuita de bienes aquellos beneficiarios que han obtenido un enriquecimiento de forma gratuita. En el caso de la Provincia de Buenos Aires aplica tanto a las personas físicas como a las jurídicas.</w:t>
      </w:r>
    </w:p>
    <w:p w:rsidR="00990DF7" w:rsidRPr="00990DF7" w:rsidRDefault="00990DF7" w:rsidP="00990DF7">
      <w:pPr>
        <w:jc w:val="both"/>
        <w:rPr>
          <w:rFonts w:ascii="Arial" w:hAnsi="Arial" w:cs="Arial"/>
          <w:sz w:val="28"/>
          <w:szCs w:val="28"/>
        </w:rPr>
      </w:pPr>
    </w:p>
    <w:p w:rsidR="00990DF7" w:rsidRPr="00990DF7" w:rsidRDefault="00990DF7" w:rsidP="00990DF7">
      <w:pPr>
        <w:jc w:val="both"/>
        <w:rPr>
          <w:rFonts w:ascii="Arial" w:hAnsi="Arial" w:cs="Arial"/>
          <w:sz w:val="28"/>
          <w:szCs w:val="28"/>
        </w:rPr>
      </w:pPr>
      <w:r w:rsidRPr="00990DF7">
        <w:rPr>
          <w:rFonts w:ascii="Arial" w:hAnsi="Arial" w:cs="Arial"/>
          <w:sz w:val="28"/>
          <w:szCs w:val="28"/>
        </w:rPr>
        <w:t>a</w:t>
      </w:r>
    </w:p>
    <w:p w:rsidR="00990DF7" w:rsidRPr="00990DF7" w:rsidRDefault="00990DF7" w:rsidP="00990DF7">
      <w:pPr>
        <w:jc w:val="both"/>
        <w:rPr>
          <w:rFonts w:ascii="Arial" w:hAnsi="Arial" w:cs="Arial"/>
          <w:sz w:val="28"/>
          <w:szCs w:val="28"/>
        </w:rPr>
      </w:pPr>
      <w:r w:rsidRPr="00990DF7">
        <w:rPr>
          <w:rFonts w:ascii="Arial" w:hAnsi="Arial" w:cs="Arial"/>
          <w:sz w:val="28"/>
          <w:szCs w:val="28"/>
        </w:rPr>
        <w:t>En el caso de la Provincia de Buenos Aires, el impuesto aplica tanto a personas físicas como jurídicas</w:t>
      </w:r>
    </w:p>
    <w:p w:rsidR="00990DF7" w:rsidRPr="00990DF7" w:rsidRDefault="00990DF7" w:rsidP="00990DF7">
      <w:pPr>
        <w:jc w:val="both"/>
        <w:rPr>
          <w:rFonts w:ascii="Arial" w:hAnsi="Arial" w:cs="Arial"/>
          <w:sz w:val="28"/>
          <w:szCs w:val="28"/>
        </w:rPr>
      </w:pPr>
      <w:r w:rsidRPr="00990DF7">
        <w:rPr>
          <w:rFonts w:ascii="Arial" w:hAnsi="Arial" w:cs="Arial"/>
          <w:sz w:val="28"/>
          <w:szCs w:val="28"/>
        </w:rPr>
        <w:t>¿Cómo pagar el impuesto a la transmisión gratuita de bienes ARBA?</w:t>
      </w:r>
    </w:p>
    <w:p w:rsidR="00990DF7" w:rsidRPr="00990DF7" w:rsidRDefault="00990DF7" w:rsidP="00990DF7">
      <w:pPr>
        <w:jc w:val="both"/>
        <w:rPr>
          <w:rFonts w:ascii="Arial" w:hAnsi="Arial" w:cs="Arial"/>
          <w:sz w:val="28"/>
          <w:szCs w:val="28"/>
        </w:rPr>
      </w:pPr>
      <w:r w:rsidRPr="00990DF7">
        <w:rPr>
          <w:rFonts w:ascii="Arial" w:hAnsi="Arial" w:cs="Arial"/>
          <w:sz w:val="28"/>
          <w:szCs w:val="28"/>
        </w:rPr>
        <w:t>Te puede interesar</w:t>
      </w:r>
    </w:p>
    <w:p w:rsidR="00990DF7" w:rsidRPr="00990DF7" w:rsidRDefault="00990DF7" w:rsidP="00990DF7">
      <w:pPr>
        <w:jc w:val="both"/>
        <w:rPr>
          <w:rFonts w:ascii="Arial" w:hAnsi="Arial" w:cs="Arial"/>
          <w:sz w:val="28"/>
          <w:szCs w:val="28"/>
        </w:rPr>
      </w:pPr>
    </w:p>
    <w:p w:rsidR="00990DF7" w:rsidRPr="00990DF7" w:rsidRDefault="00990DF7" w:rsidP="00990DF7">
      <w:pPr>
        <w:jc w:val="both"/>
        <w:rPr>
          <w:rFonts w:ascii="Arial" w:hAnsi="Arial" w:cs="Arial"/>
          <w:sz w:val="28"/>
          <w:szCs w:val="28"/>
        </w:rPr>
      </w:pPr>
      <w:r w:rsidRPr="00990DF7">
        <w:rPr>
          <w:rFonts w:ascii="Arial" w:hAnsi="Arial" w:cs="Arial"/>
          <w:sz w:val="28"/>
          <w:szCs w:val="28"/>
        </w:rPr>
        <w:t>Potenciar Trabajo | ¿Cuándo cobro y cuál es el monto en marzo 2023?</w:t>
      </w:r>
    </w:p>
    <w:p w:rsidR="00990DF7" w:rsidRPr="00990DF7" w:rsidRDefault="00990DF7" w:rsidP="00990DF7">
      <w:pPr>
        <w:jc w:val="both"/>
        <w:rPr>
          <w:rFonts w:ascii="Arial" w:hAnsi="Arial" w:cs="Arial"/>
          <w:sz w:val="28"/>
          <w:szCs w:val="28"/>
        </w:rPr>
      </w:pPr>
      <w:r w:rsidRPr="00990DF7">
        <w:rPr>
          <w:rFonts w:ascii="Arial" w:hAnsi="Arial" w:cs="Arial"/>
          <w:sz w:val="28"/>
          <w:szCs w:val="28"/>
        </w:rPr>
        <w:t>Para pagar el impuesto a la transmisión gratuita de bienes en ARBA se deben seguir los siguientes pasos:</w:t>
      </w:r>
    </w:p>
    <w:p w:rsidR="00990DF7" w:rsidRPr="00990DF7" w:rsidRDefault="00990DF7" w:rsidP="00990DF7">
      <w:pPr>
        <w:jc w:val="both"/>
        <w:rPr>
          <w:rFonts w:ascii="Arial" w:hAnsi="Arial" w:cs="Arial"/>
          <w:sz w:val="28"/>
          <w:szCs w:val="28"/>
        </w:rPr>
      </w:pPr>
    </w:p>
    <w:p w:rsidR="00990DF7" w:rsidRPr="00990DF7" w:rsidRDefault="00990DF7" w:rsidP="00990DF7">
      <w:pPr>
        <w:jc w:val="both"/>
        <w:rPr>
          <w:rFonts w:ascii="Arial" w:hAnsi="Arial" w:cs="Arial"/>
          <w:sz w:val="28"/>
          <w:szCs w:val="28"/>
        </w:rPr>
      </w:pPr>
      <w:r w:rsidRPr="00990DF7">
        <w:rPr>
          <w:rFonts w:ascii="Arial" w:hAnsi="Arial" w:cs="Arial"/>
          <w:sz w:val="28"/>
          <w:szCs w:val="28"/>
        </w:rPr>
        <w:t>Presionar el botón "Iniciar Trámite" o directamente acceder a TGB - Transmisión Gratuita de Bienes</w:t>
      </w:r>
    </w:p>
    <w:p w:rsidR="00990DF7" w:rsidRPr="00990DF7" w:rsidRDefault="00990DF7" w:rsidP="00990DF7">
      <w:pPr>
        <w:jc w:val="both"/>
        <w:rPr>
          <w:rFonts w:ascii="Arial" w:hAnsi="Arial" w:cs="Arial"/>
          <w:sz w:val="28"/>
          <w:szCs w:val="28"/>
        </w:rPr>
      </w:pPr>
      <w:proofErr w:type="spellStart"/>
      <w:r w:rsidRPr="00990DF7">
        <w:rPr>
          <w:rFonts w:ascii="Arial" w:hAnsi="Arial" w:cs="Arial"/>
          <w:sz w:val="28"/>
          <w:szCs w:val="28"/>
        </w:rPr>
        <w:t>Ingresá</w:t>
      </w:r>
      <w:proofErr w:type="spellEnd"/>
      <w:r w:rsidRPr="00990DF7">
        <w:rPr>
          <w:rFonts w:ascii="Arial" w:hAnsi="Arial" w:cs="Arial"/>
          <w:sz w:val="28"/>
          <w:szCs w:val="28"/>
        </w:rPr>
        <w:t xml:space="preserve"> tu número CUIT y Clave de Identificación Tributaria (CIT). Luego presionar en "Ingresar"</w:t>
      </w:r>
    </w:p>
    <w:p w:rsidR="00990DF7" w:rsidRPr="00990DF7" w:rsidRDefault="00990DF7" w:rsidP="00990DF7">
      <w:pPr>
        <w:jc w:val="both"/>
        <w:rPr>
          <w:rFonts w:ascii="Arial" w:hAnsi="Arial" w:cs="Arial"/>
          <w:sz w:val="28"/>
          <w:szCs w:val="28"/>
        </w:rPr>
      </w:pPr>
      <w:proofErr w:type="spellStart"/>
      <w:r w:rsidRPr="00990DF7">
        <w:rPr>
          <w:rFonts w:ascii="Arial" w:hAnsi="Arial" w:cs="Arial"/>
          <w:sz w:val="28"/>
          <w:szCs w:val="28"/>
        </w:rPr>
        <w:lastRenderedPageBreak/>
        <w:t>Ingresá</w:t>
      </w:r>
      <w:proofErr w:type="spellEnd"/>
      <w:r w:rsidRPr="00990DF7">
        <w:rPr>
          <w:rFonts w:ascii="Arial" w:hAnsi="Arial" w:cs="Arial"/>
          <w:sz w:val="28"/>
          <w:szCs w:val="28"/>
        </w:rPr>
        <w:t xml:space="preserve"> en el menú "Presentaciones" y luego </w:t>
      </w:r>
      <w:proofErr w:type="spellStart"/>
      <w:r w:rsidRPr="00990DF7">
        <w:rPr>
          <w:rFonts w:ascii="Arial" w:hAnsi="Arial" w:cs="Arial"/>
          <w:sz w:val="28"/>
          <w:szCs w:val="28"/>
        </w:rPr>
        <w:t>dirigite</w:t>
      </w:r>
      <w:proofErr w:type="spellEnd"/>
      <w:r w:rsidRPr="00990DF7">
        <w:rPr>
          <w:rFonts w:ascii="Arial" w:hAnsi="Arial" w:cs="Arial"/>
          <w:sz w:val="28"/>
          <w:szCs w:val="28"/>
        </w:rPr>
        <w:t xml:space="preserve"> a "Presentación DDJJ originales". Posteriormente hace clic en "Generar nueva DDJJ"</w:t>
      </w:r>
    </w:p>
    <w:p w:rsidR="00990DF7" w:rsidRPr="00990DF7" w:rsidRDefault="00990DF7" w:rsidP="00990DF7">
      <w:pPr>
        <w:jc w:val="both"/>
        <w:rPr>
          <w:rFonts w:ascii="Arial" w:hAnsi="Arial" w:cs="Arial"/>
          <w:sz w:val="28"/>
          <w:szCs w:val="28"/>
        </w:rPr>
      </w:pPr>
      <w:r w:rsidRPr="00990DF7">
        <w:rPr>
          <w:rFonts w:ascii="Arial" w:hAnsi="Arial" w:cs="Arial"/>
          <w:sz w:val="28"/>
          <w:szCs w:val="28"/>
        </w:rPr>
        <w:t>Luego deberás cargar los datos del declarante, el tipo de instrumento que origina el enriquecimiento y todas las personas involucradas, incluso al causante cuando se trate de transmisiones por fallecimiento</w:t>
      </w:r>
    </w:p>
    <w:p w:rsidR="00990DF7" w:rsidRPr="00990DF7" w:rsidRDefault="00990DF7" w:rsidP="00990DF7">
      <w:pPr>
        <w:jc w:val="both"/>
        <w:rPr>
          <w:rFonts w:ascii="Arial" w:hAnsi="Arial" w:cs="Arial"/>
          <w:sz w:val="28"/>
          <w:szCs w:val="28"/>
        </w:rPr>
      </w:pPr>
      <w:r w:rsidRPr="00990DF7">
        <w:rPr>
          <w:rFonts w:ascii="Arial" w:hAnsi="Arial" w:cs="Arial"/>
          <w:sz w:val="28"/>
          <w:szCs w:val="28"/>
        </w:rPr>
        <w:t>Posteriormente, deberás cargar los bienes que se transfieren. Luego, deberás presionar en el botón "Declarar"</w:t>
      </w:r>
    </w:p>
    <w:p w:rsidR="00990DF7" w:rsidRPr="00990DF7" w:rsidRDefault="00990DF7" w:rsidP="00990DF7">
      <w:pPr>
        <w:jc w:val="both"/>
        <w:rPr>
          <w:rFonts w:ascii="Arial" w:hAnsi="Arial" w:cs="Arial"/>
          <w:sz w:val="28"/>
          <w:szCs w:val="28"/>
        </w:rPr>
      </w:pPr>
      <w:r w:rsidRPr="00990DF7">
        <w:rPr>
          <w:rFonts w:ascii="Arial" w:hAnsi="Arial" w:cs="Arial"/>
          <w:sz w:val="28"/>
          <w:szCs w:val="28"/>
        </w:rPr>
        <w:t>Una vez que realizaste el paso anterior, te mostrará un detalle de la transmisión cargada, mostrando los totales cargados por rubro. Allí deberás presionar en "Declarar"</w:t>
      </w:r>
    </w:p>
    <w:p w:rsidR="00555B8D" w:rsidRPr="00990DF7" w:rsidRDefault="00990DF7" w:rsidP="00990DF7">
      <w:pPr>
        <w:jc w:val="both"/>
        <w:rPr>
          <w:rFonts w:ascii="Arial" w:hAnsi="Arial" w:cs="Arial"/>
          <w:sz w:val="28"/>
          <w:szCs w:val="28"/>
        </w:rPr>
      </w:pPr>
      <w:r w:rsidRPr="00990DF7">
        <w:rPr>
          <w:rFonts w:ascii="Arial" w:hAnsi="Arial" w:cs="Arial"/>
          <w:sz w:val="28"/>
          <w:szCs w:val="28"/>
        </w:rPr>
        <w:t xml:space="preserve">Finalmente deberás descargar los formularios: si </w:t>
      </w:r>
      <w:proofErr w:type="spellStart"/>
      <w:r w:rsidRPr="00990DF7">
        <w:rPr>
          <w:rFonts w:ascii="Arial" w:hAnsi="Arial" w:cs="Arial"/>
          <w:sz w:val="28"/>
          <w:szCs w:val="28"/>
        </w:rPr>
        <w:t>hacés</w:t>
      </w:r>
      <w:proofErr w:type="spellEnd"/>
      <w:r w:rsidRPr="00990DF7">
        <w:rPr>
          <w:rFonts w:ascii="Arial" w:hAnsi="Arial" w:cs="Arial"/>
          <w:sz w:val="28"/>
          <w:szCs w:val="28"/>
        </w:rPr>
        <w:t xml:space="preserve"> clic en "Liquidar" obtendrás el formulario de pago, si lo hacer en "Emisión de Constancia de Presentación" obtendrás la constancia de la declaración jurada generada con la fecha, el monto declarado y el motivo del acto. Por último, podrás descargar el formulario de la declaración jurada con el detalle de las transferencias por beneficiario y bienes transferidos haciendo clic en "Emisión de Formulario DDJJ"</w:t>
      </w:r>
    </w:p>
    <w:sectPr w:rsidR="00555B8D" w:rsidRPr="00990D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F7"/>
    <w:rsid w:val="000F68BB"/>
    <w:rsid w:val="001C1067"/>
    <w:rsid w:val="002E158B"/>
    <w:rsid w:val="00555B8D"/>
    <w:rsid w:val="00646CC0"/>
    <w:rsid w:val="00657137"/>
    <w:rsid w:val="008E71AD"/>
    <w:rsid w:val="0095129B"/>
    <w:rsid w:val="00990DF7"/>
    <w:rsid w:val="00AB1B45"/>
    <w:rsid w:val="00C67E6D"/>
    <w:rsid w:val="00D26E1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36B6C"/>
  <w15:chartTrackingRefBased/>
  <w15:docId w15:val="{8236FC50-EA13-4BE1-B756-3E55192C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639</Words>
  <Characters>3518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MUSACCHIO</dc:creator>
  <cp:keywords/>
  <dc:description/>
  <cp:lastModifiedBy>CLAUDIO MUSACCHIO</cp:lastModifiedBy>
  <cp:revision>1</cp:revision>
  <dcterms:created xsi:type="dcterms:W3CDTF">2023-03-07T10:51:00Z</dcterms:created>
  <dcterms:modified xsi:type="dcterms:W3CDTF">2023-03-07T11:29:00Z</dcterms:modified>
</cp:coreProperties>
</file>